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6" w:rsidRPr="005B29D6" w:rsidRDefault="005B29D6" w:rsidP="005B29D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B29D6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B29D6" w:rsidRPr="005B29D6" w:rsidRDefault="005B29D6" w:rsidP="005B29D6">
      <w:pPr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5B29D6" w:rsidRPr="005B29D6" w:rsidRDefault="005B29D6" w:rsidP="005B29D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B29D6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5B29D6" w:rsidRPr="005B29D6" w:rsidRDefault="005B29D6" w:rsidP="005B29D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B29D6">
        <w:rPr>
          <w:rFonts w:ascii="Arial" w:hAnsi="Arial" w:cs="Arial"/>
          <w:b/>
          <w:bCs/>
          <w:sz w:val="24"/>
          <w:szCs w:val="24"/>
          <w:lang w:eastAsia="ru-RU"/>
        </w:rPr>
        <w:t xml:space="preserve">от 2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июля </w:t>
      </w:r>
      <w:r w:rsidRPr="005B29D6">
        <w:rPr>
          <w:rFonts w:ascii="Arial" w:hAnsi="Arial" w:cs="Arial"/>
          <w:b/>
          <w:bCs/>
          <w:sz w:val="24"/>
          <w:szCs w:val="24"/>
          <w:lang w:eastAsia="ru-RU"/>
        </w:rPr>
        <w:t>20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20</w:t>
      </w:r>
      <w:r w:rsidRPr="005B29D6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:rsidR="005B29D6" w:rsidRDefault="005B29D6" w:rsidP="005B29D6">
      <w:pPr>
        <w:pStyle w:val="2"/>
        <w:ind w:left="0"/>
        <w:rPr>
          <w:lang w:eastAsia="ru-RU"/>
        </w:rPr>
      </w:pPr>
    </w:p>
    <w:p w:rsidR="005B29D6" w:rsidRPr="005B29D6" w:rsidRDefault="005B29D6" w:rsidP="005B29D6">
      <w:pPr>
        <w:pStyle w:val="2"/>
        <w:ind w:left="0"/>
        <w:rPr>
          <w:lang w:eastAsia="ru-RU"/>
        </w:rPr>
      </w:pPr>
      <w:r w:rsidRPr="005B29D6">
        <w:rPr>
          <w:lang w:eastAsia="ru-RU"/>
        </w:rPr>
        <w:t>Минфин России направил в Правительство Российской Федерации предложение по увеличению в 2 раза квоты государственных и муниципальных закупок у малого бизнеса</w:t>
      </w:r>
    </w:p>
    <w:p w:rsidR="003532AA" w:rsidRDefault="003532AA" w:rsidP="005B29D6">
      <w:pPr>
        <w:pStyle w:val="2"/>
        <w:ind w:left="0"/>
      </w:pP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Минфин России разработал и направил Первому заместителю Председателя Правительства Российской Федерации А.Р. Белоусову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предложения</w:t>
      </w:r>
      <w:r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по дополнительной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поддержке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субъектов малого и среднего предпринимательства при их участии в государственных и муниципальных закупках, предусматривающие:</w:t>
      </w: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распространение 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действующих для субъектов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малого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предпринимательства преимуществ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также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на субъектов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среднего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предпринимательства;</w:t>
      </w: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увеличение 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в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два раза 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(с действующих 15 до 30 %)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размера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обязательной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доли (квоты) закупок, осуществляемых каждым государственным и муниципальным заказчиком у субъектов малого и среднего предпринимательства.</w:t>
      </w: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В случае поддержки Правительством Российской Федерации указанных предложений, Минфин России обеспечит внесение соответствующих изменений</w:t>
      </w: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в Закон № 44-ФЗ путем их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включения в ранее разработанный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Минфином России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законопроект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об оптимизации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и упрощении государственных и муниципальных закупок ("</w:t>
      </w:r>
      <w:hyperlink r:id="rId6" w:history="1">
        <w:r w:rsidRPr="005B29D6">
          <w:rPr>
            <w:rFonts w:ascii="Arial" w:hAnsi="Arial" w:cs="Arial"/>
            <w:color w:val="0563C1"/>
            <w:sz w:val="24"/>
            <w:szCs w:val="24"/>
            <w:u w:val="single"/>
            <w:lang w:eastAsia="ru-RU"/>
          </w:rPr>
          <w:t>оптимизационный</w:t>
        </w:r>
      </w:hyperlink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" законопроект).</w:t>
      </w:r>
    </w:p>
    <w:p w:rsid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Следует дополнительно отметить, что "оптимизационный" законопроект для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снижения финансовой нагрузки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на субъектов малого предпринимательства содержит новацию, допускающую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возможность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предоставления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 такими субъектами для обеспечения заявок и заключаемых контрактов (помимо банковских гарантий) независимых </w:t>
      </w:r>
      <w:r w:rsidRPr="005B29D6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гарантий, выданных региональными гарантийными организациями</w:t>
      </w:r>
      <w:r w:rsidRPr="005B29D6">
        <w:rPr>
          <w:rFonts w:ascii="Arial" w:hAnsi="Arial" w:cs="Arial"/>
          <w:color w:val="222222"/>
          <w:sz w:val="24"/>
          <w:szCs w:val="24"/>
          <w:lang w:eastAsia="ru-RU"/>
        </w:rPr>
        <w:t>, образующими в соответствии с Законом № 209-ФЗ национальную гарантийную систему поддержки малого и среднего предпринимательства.</w:t>
      </w: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СПРАВОЧНО:</w:t>
      </w: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Законопроект об оптимизации и упрощении государственных и муниципальных закупок ранее подготовлен и </w:t>
      </w:r>
      <w:r w:rsidRPr="005B29D6">
        <w:rPr>
          <w:rFonts w:ascii="Arial" w:hAnsi="Arial" w:cs="Arial"/>
          <w:b/>
          <w:bCs/>
          <w:i/>
          <w:iCs/>
          <w:color w:val="222222"/>
          <w:sz w:val="24"/>
          <w:szCs w:val="24"/>
          <w:lang w:eastAsia="ru-RU"/>
        </w:rPr>
        <w:t>внесен</w:t>
      </w: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 Минфином России в Правительство Российской Федерации.</w:t>
      </w:r>
    </w:p>
    <w:p w:rsidR="005B29D6" w:rsidRP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Указанный законопроект </w:t>
      </w:r>
      <w:r w:rsidRPr="005B29D6">
        <w:rPr>
          <w:rFonts w:ascii="Arial" w:hAnsi="Arial" w:cs="Arial"/>
          <w:b/>
          <w:bCs/>
          <w:i/>
          <w:iCs/>
          <w:color w:val="222222"/>
          <w:sz w:val="24"/>
          <w:szCs w:val="24"/>
          <w:lang w:eastAsia="ru-RU"/>
        </w:rPr>
        <w:t>включен</w:t>
      </w: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 в План дополнительных мероприятий (действий) по обеспечению устойчивого развития экономики в условиях ухудшения ситуации в связи с распространением новой коронавирусной инфекции (пункт 4.4 плана, одобренного на заседании Правительства Российской Федерации 16 апреля 2020 г.), а также </w:t>
      </w:r>
      <w:r w:rsidRPr="005B29D6">
        <w:rPr>
          <w:rFonts w:ascii="Arial" w:hAnsi="Arial" w:cs="Arial"/>
          <w:b/>
          <w:bCs/>
          <w:i/>
          <w:iCs/>
          <w:color w:val="222222"/>
          <w:sz w:val="24"/>
          <w:szCs w:val="24"/>
          <w:lang w:eastAsia="ru-RU"/>
        </w:rPr>
        <w:t>содержит</w:t>
      </w: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 отдельные мероприятия, предложенные к включению в разрабатываемый Общенациональный план действий по нормализации деловой жизни, восстановлению занятости, доходов граждан и роста экономики.</w:t>
      </w:r>
    </w:p>
    <w:p w:rsidR="005B29D6" w:rsidRDefault="005B29D6" w:rsidP="005B29D6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i/>
          <w:iCs/>
          <w:color w:val="222222"/>
          <w:sz w:val="24"/>
          <w:szCs w:val="24"/>
          <w:lang w:eastAsia="ru-RU"/>
        </w:rPr>
      </w:pP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Согласно подпункту 4 пункта 10 </w:t>
      </w:r>
      <w:hyperlink r:id="rId7" w:history="1">
        <w:r w:rsidRPr="005B29D6">
          <w:rPr>
            <w:rFonts w:ascii="Arial" w:hAnsi="Arial" w:cs="Arial"/>
            <w:i/>
            <w:iCs/>
            <w:color w:val="0563C1"/>
            <w:sz w:val="24"/>
            <w:szCs w:val="24"/>
            <w:u w:val="single"/>
            <w:lang w:eastAsia="ru-RU"/>
          </w:rPr>
          <w:t>решений</w:t>
        </w:r>
      </w:hyperlink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, принятых на заседании Правительства Российской Федерации 20 февраля 2020 г., поручено обеспечить внесение законопроекта в Государственную Думу Российской Федерации для </w:t>
      </w:r>
      <w:r w:rsidRPr="005B29D6">
        <w:rPr>
          <w:rFonts w:ascii="Arial" w:hAnsi="Arial" w:cs="Arial"/>
          <w:b/>
          <w:bCs/>
          <w:i/>
          <w:iCs/>
          <w:color w:val="222222"/>
          <w:sz w:val="24"/>
          <w:szCs w:val="24"/>
          <w:lang w:eastAsia="ru-RU"/>
        </w:rPr>
        <w:t>его</w:t>
      </w: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 </w:t>
      </w:r>
      <w:r w:rsidRPr="005B29D6">
        <w:rPr>
          <w:rFonts w:ascii="Arial" w:hAnsi="Arial" w:cs="Arial"/>
          <w:b/>
          <w:bCs/>
          <w:i/>
          <w:iCs/>
          <w:color w:val="222222"/>
          <w:sz w:val="24"/>
          <w:szCs w:val="24"/>
          <w:lang w:eastAsia="ru-RU"/>
        </w:rPr>
        <w:t>рассмотрения</w:t>
      </w: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 в период </w:t>
      </w:r>
      <w:hyperlink r:id="rId8" w:history="1">
        <w:r w:rsidRPr="005B29D6">
          <w:rPr>
            <w:rFonts w:ascii="Arial" w:hAnsi="Arial" w:cs="Arial"/>
            <w:b/>
            <w:bCs/>
            <w:i/>
            <w:iCs/>
            <w:color w:val="0563C1"/>
            <w:sz w:val="24"/>
            <w:szCs w:val="24"/>
            <w:u w:val="single"/>
            <w:lang w:eastAsia="ru-RU"/>
          </w:rPr>
          <w:t>весенней</w:t>
        </w:r>
      </w:hyperlink>
      <w:r w:rsidRPr="005B29D6">
        <w:rPr>
          <w:rFonts w:ascii="Arial" w:hAnsi="Arial" w:cs="Arial"/>
          <w:b/>
          <w:bCs/>
          <w:i/>
          <w:iCs/>
          <w:color w:val="0563C1"/>
          <w:sz w:val="24"/>
          <w:szCs w:val="24"/>
          <w:u w:val="single"/>
          <w:lang w:eastAsia="ru-RU"/>
        </w:rPr>
        <w:t> </w:t>
      </w:r>
      <w:r w:rsidRPr="005B29D6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сессии ее работы.</w:t>
      </w:r>
    </w:p>
    <w:p w:rsidR="005B29D6" w:rsidRDefault="005B29D6" w:rsidP="005B29D6">
      <w:pPr>
        <w:shd w:val="clear" w:color="auto" w:fill="FFFFFF"/>
        <w:spacing w:after="0" w:line="276" w:lineRule="auto"/>
        <w:ind w:firstLine="567"/>
        <w:jc w:val="both"/>
      </w:pPr>
      <w:r>
        <w:rPr>
          <w:rFonts w:ascii="Arial" w:hAnsi="Arial" w:cs="Arial"/>
          <w:iCs/>
          <w:color w:val="222222"/>
          <w:sz w:val="24"/>
          <w:szCs w:val="24"/>
          <w:lang w:eastAsia="ru-RU"/>
        </w:rPr>
        <w:t>________________________________________________________________</w:t>
      </w:r>
    </w:p>
    <w:sectPr w:rsidR="005B29D6" w:rsidSect="005B29D6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D7" w:rsidRDefault="004D51D7" w:rsidP="005B29D6">
      <w:pPr>
        <w:spacing w:after="0" w:line="240" w:lineRule="auto"/>
      </w:pPr>
      <w:r>
        <w:separator/>
      </w:r>
    </w:p>
  </w:endnote>
  <w:endnote w:type="continuationSeparator" w:id="0">
    <w:p w:rsidR="004D51D7" w:rsidRDefault="004D51D7" w:rsidP="005B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D6" w:rsidRPr="005B29D6" w:rsidRDefault="005B29D6">
    <w:pPr>
      <w:pStyle w:val="a7"/>
    </w:pPr>
    <w:r>
      <w:t>Источник</w:t>
    </w:r>
    <w:r w:rsidRPr="005B29D6">
      <w:t xml:space="preserve">: </w:t>
    </w:r>
    <w:hyperlink r:id="rId1" w:history="1">
      <w:r w:rsidRPr="005B29D6">
        <w:rPr>
          <w:color w:val="0000FF"/>
          <w:u w:val="single"/>
        </w:rPr>
        <w:t>https://www.minfin.ru/ru/press-center/?id_4=37107-minfin_rossii_napravil_v_pravitelstvo_rossiiskoi_federatsii_predlozhenie_po_uvelicheniyu_v_2_raza_kvoty_gosudarstvennykh_i_munitsipalnykh_zakupok_u_malogo_biznesa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D7" w:rsidRDefault="004D51D7" w:rsidP="005B29D6">
      <w:pPr>
        <w:spacing w:after="0" w:line="240" w:lineRule="auto"/>
      </w:pPr>
      <w:r>
        <w:separator/>
      </w:r>
    </w:p>
  </w:footnote>
  <w:footnote w:type="continuationSeparator" w:id="0">
    <w:p w:rsidR="004D51D7" w:rsidRDefault="004D51D7" w:rsidP="005B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D6"/>
    <w:rsid w:val="003532AA"/>
    <w:rsid w:val="004B7CA1"/>
    <w:rsid w:val="004D51D7"/>
    <w:rsid w:val="005B29D6"/>
    <w:rsid w:val="006B5085"/>
    <w:rsid w:val="006E6D36"/>
    <w:rsid w:val="00722500"/>
    <w:rsid w:val="00747C66"/>
    <w:rsid w:val="008F0535"/>
    <w:rsid w:val="00947AC5"/>
    <w:rsid w:val="00DE5F60"/>
    <w:rsid w:val="00F351C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5B29D6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5B29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news/471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ernment.ru/meetings/39001/decis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fin.ru/ru/press-center/?id_4=37071-minfin_rossii_zavershil_podgotovku_zakonoproekta_ob_optimizatsii_i_uproshchenii_gosudarstvennykh_i_munitsipalnykh_zakupok_i_vnes_yego_v_pravitelstvo_rossiiskoi_federatsi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fin.ru/ru/press-center/?id_4=37107-minfin_rossii_napravil_v_pravitelstvo_rossiiskoi_federatsii_predlozhenie_po_uvelicheniyu_v_2_raza_kvoty_gosudarstvennykh_i_munitsipalnykh_zakupok_u_malogo_bizn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>NPO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2020-07-03T03:56:00Z</dcterms:created>
  <dcterms:modified xsi:type="dcterms:W3CDTF">2020-07-03T03:56:00Z</dcterms:modified>
</cp:coreProperties>
</file>